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79" w:rsidRPr="00A075A1" w:rsidRDefault="00401995" w:rsidP="00527379">
      <w:pPr>
        <w:jc w:val="center"/>
        <w:rPr>
          <w:rFonts w:cs="Arial"/>
          <w:b/>
          <w:szCs w:val="20"/>
        </w:rPr>
      </w:pPr>
      <w:r>
        <w:rPr>
          <w:rFonts w:cs="Arial"/>
          <w:b/>
          <w:szCs w:val="20"/>
        </w:rPr>
        <w:t xml:space="preserve">Early Years </w:t>
      </w:r>
      <w:r w:rsidR="00422037">
        <w:rPr>
          <w:rFonts w:cs="Arial"/>
          <w:b/>
          <w:szCs w:val="20"/>
        </w:rPr>
        <w:t>Practitioner</w:t>
      </w:r>
      <w:r w:rsidR="00527379" w:rsidRPr="00A075A1">
        <w:rPr>
          <w:rFonts w:cs="Arial"/>
          <w:b/>
          <w:szCs w:val="20"/>
        </w:rPr>
        <w:t xml:space="preserve"> Level </w:t>
      </w:r>
      <w:r w:rsidR="00422037">
        <w:rPr>
          <w:rFonts w:cs="Arial"/>
          <w:b/>
          <w:szCs w:val="20"/>
        </w:rPr>
        <w:t>2</w:t>
      </w:r>
      <w:r w:rsidR="00527379" w:rsidRPr="00A075A1">
        <w:rPr>
          <w:rFonts w:cs="Arial"/>
          <w:b/>
          <w:szCs w:val="20"/>
        </w:rPr>
        <w:t xml:space="preserve"> Apprenticeship Standard</w:t>
      </w:r>
    </w:p>
    <w:p w:rsidR="00527379" w:rsidRDefault="00527379" w:rsidP="00527379">
      <w:pPr>
        <w:rPr>
          <w:rFonts w:cs="Arial"/>
          <w:b/>
          <w:szCs w:val="20"/>
        </w:rPr>
      </w:pPr>
      <w:r w:rsidRPr="00A075A1">
        <w:rPr>
          <w:rFonts w:cs="Arial"/>
          <w:b/>
          <w:szCs w:val="20"/>
        </w:rPr>
        <w:t>Course Offer / Achievement</w:t>
      </w:r>
    </w:p>
    <w:p w:rsidR="009F1DC6" w:rsidRPr="009F1DC6" w:rsidRDefault="009F1DC6" w:rsidP="009F1DC6">
      <w:pPr>
        <w:shd w:val="clear" w:color="auto" w:fill="FFFFFF"/>
        <w:spacing w:before="0" w:line="240" w:lineRule="auto"/>
        <w:textAlignment w:val="baseline"/>
        <w:rPr>
          <w:rFonts w:eastAsia="Times New Roman" w:cs="Arial"/>
          <w:color w:val="334047"/>
          <w:szCs w:val="20"/>
          <w:lang w:eastAsia="en-GB"/>
        </w:rPr>
      </w:pPr>
      <w:r w:rsidRPr="009F1DC6">
        <w:rPr>
          <w:rFonts w:eastAsia="Times New Roman" w:cs="Arial"/>
          <w:color w:val="334047"/>
          <w:szCs w:val="20"/>
          <w:lang w:eastAsia="en-GB"/>
        </w:rPr>
        <w:t xml:space="preserve">Early Years </w:t>
      </w:r>
      <w:r>
        <w:rPr>
          <w:rFonts w:eastAsia="Times New Roman" w:cs="Arial"/>
          <w:color w:val="334047"/>
          <w:szCs w:val="20"/>
          <w:lang w:eastAsia="en-GB"/>
        </w:rPr>
        <w:t xml:space="preserve">Practitioners </w:t>
      </w:r>
      <w:r w:rsidR="00DA268E">
        <w:rPr>
          <w:rFonts w:eastAsia="Times New Roman" w:cs="Arial"/>
          <w:color w:val="334047"/>
          <w:szCs w:val="20"/>
          <w:lang w:eastAsia="en-GB"/>
        </w:rPr>
        <w:t xml:space="preserve">(EYP) </w:t>
      </w:r>
      <w:r w:rsidRPr="009F1DC6">
        <w:rPr>
          <w:rFonts w:eastAsia="Times New Roman" w:cs="Arial"/>
          <w:color w:val="334047"/>
          <w:szCs w:val="20"/>
          <w:lang w:eastAsia="en-GB"/>
        </w:rPr>
        <w:t>work in a  range  of settings including full day care, children’s centres, preschool, reception classes</w:t>
      </w:r>
      <w:r>
        <w:rPr>
          <w:rFonts w:eastAsia="Times New Roman" w:cs="Arial"/>
          <w:color w:val="334047"/>
          <w:szCs w:val="20"/>
          <w:lang w:eastAsia="en-GB"/>
        </w:rPr>
        <w:t xml:space="preserve">, playgroups and nursery schools and deliver the Early Years Foundation Stage </w:t>
      </w:r>
      <w:r w:rsidRPr="009F1DC6">
        <w:rPr>
          <w:rFonts w:eastAsia="Times New Roman" w:cs="Arial"/>
          <w:color w:val="334047"/>
          <w:szCs w:val="20"/>
          <w:lang w:eastAsia="en-GB"/>
        </w:rPr>
        <w:t xml:space="preserve">(EYFS) requirements set by government for the learning, development, and care of children from birth to 5 in both indoor and outdoor environments.  </w:t>
      </w:r>
    </w:p>
    <w:p w:rsidR="00422037" w:rsidRPr="00422037" w:rsidRDefault="009F1DC6" w:rsidP="00085AD9">
      <w:pPr>
        <w:shd w:val="clear" w:color="auto" w:fill="FFFFFF"/>
        <w:spacing w:before="0" w:line="240" w:lineRule="auto"/>
        <w:textAlignment w:val="baseline"/>
        <w:rPr>
          <w:rFonts w:cs="Arial"/>
          <w:szCs w:val="20"/>
        </w:rPr>
      </w:pPr>
      <w:r w:rsidRPr="009F1DC6">
        <w:rPr>
          <w:rFonts w:eastAsia="Times New Roman" w:cs="Arial"/>
          <w:color w:val="334047"/>
          <w:szCs w:val="20"/>
          <w:lang w:eastAsia="en-GB"/>
        </w:rPr>
        <w:t xml:space="preserve">Early Years </w:t>
      </w:r>
      <w:r>
        <w:rPr>
          <w:rFonts w:eastAsia="Times New Roman" w:cs="Arial"/>
          <w:color w:val="334047"/>
          <w:szCs w:val="20"/>
          <w:lang w:eastAsia="en-GB"/>
        </w:rPr>
        <w:t xml:space="preserve">Practitioners </w:t>
      </w:r>
      <w:r w:rsidRPr="009F1DC6">
        <w:rPr>
          <w:rFonts w:eastAsia="Times New Roman" w:cs="Arial"/>
          <w:color w:val="334047"/>
          <w:szCs w:val="20"/>
          <w:lang w:eastAsia="en-GB"/>
        </w:rPr>
        <w:t xml:space="preserve">will be responsible  for </w:t>
      </w:r>
      <w:r>
        <w:rPr>
          <w:rFonts w:eastAsia="Times New Roman" w:cs="Arial"/>
          <w:color w:val="334047"/>
          <w:szCs w:val="20"/>
          <w:lang w:eastAsia="en-GB"/>
        </w:rPr>
        <w:t xml:space="preserve">supporting child initiated and adult led activities based around the needs and interests of each individual child, supporting children’s learning through planned, purposeful play </w:t>
      </w:r>
      <w:r w:rsidR="00DA268E">
        <w:rPr>
          <w:rFonts w:eastAsia="Times New Roman" w:cs="Arial"/>
          <w:color w:val="334047"/>
          <w:szCs w:val="20"/>
          <w:lang w:eastAsia="en-GB"/>
        </w:rPr>
        <w:t>opportunities</w:t>
      </w:r>
      <w:r>
        <w:rPr>
          <w:rFonts w:eastAsia="Times New Roman" w:cs="Arial"/>
          <w:color w:val="334047"/>
          <w:szCs w:val="20"/>
          <w:lang w:eastAsia="en-GB"/>
        </w:rPr>
        <w:t xml:space="preserve"> and educational programmes, working as part of a team to ensure each child feels safe and secure.  </w:t>
      </w:r>
      <w:r w:rsidR="00DA268E">
        <w:rPr>
          <w:rFonts w:eastAsia="Times New Roman" w:cs="Arial"/>
          <w:color w:val="334047"/>
          <w:szCs w:val="20"/>
          <w:lang w:eastAsia="en-GB"/>
        </w:rPr>
        <w:t>An EYP will also support the observation and assessment of each child and contribute to their learning experiences and assist with the care needs of the individual child such as teeth, skin, hair, feeding, changing nappies and toileting under directions of a more senior member of the team.  They will work in partnerships with other colleagues, parents and / or carers or other professionals</w:t>
      </w:r>
      <w:r w:rsidR="00085AD9">
        <w:rPr>
          <w:rFonts w:eastAsia="Times New Roman" w:cs="Arial"/>
          <w:color w:val="334047"/>
          <w:szCs w:val="20"/>
          <w:lang w:eastAsia="en-GB"/>
        </w:rPr>
        <w:t xml:space="preserve"> with support from a more senior member of the team, to meet the individual needs of each child.  They will also have a responsibility for ensuring that they recognise when a child is in danger and / or at risk of serious harm or abuse and contributing to the health and safety of the children, staff and others on the premises.</w:t>
      </w:r>
    </w:p>
    <w:p w:rsidR="00527379" w:rsidRPr="00A075A1" w:rsidRDefault="00527379" w:rsidP="00527379">
      <w:pPr>
        <w:shd w:val="clear" w:color="auto" w:fill="FFFFFF"/>
        <w:spacing w:line="240" w:lineRule="auto"/>
        <w:ind w:left="34"/>
        <w:textAlignment w:val="baseline"/>
        <w:rPr>
          <w:rFonts w:eastAsia="Times New Roman" w:cs="Arial"/>
          <w:color w:val="334047"/>
          <w:szCs w:val="20"/>
          <w:lang w:eastAsia="en-GB"/>
        </w:rPr>
      </w:pPr>
      <w:r w:rsidRPr="00A075A1">
        <w:rPr>
          <w:rFonts w:eastAsia="Times New Roman" w:cs="Arial"/>
          <w:color w:val="334047"/>
          <w:szCs w:val="20"/>
          <w:lang w:eastAsia="en-GB"/>
        </w:rPr>
        <w:t xml:space="preserve">To meet the </w:t>
      </w:r>
      <w:r w:rsidR="004C1E4E">
        <w:rPr>
          <w:rFonts w:eastAsia="Times New Roman" w:cs="Arial"/>
          <w:color w:val="334047"/>
          <w:szCs w:val="20"/>
          <w:lang w:eastAsia="en-GB"/>
        </w:rPr>
        <w:t>Early Yea</w:t>
      </w:r>
      <w:r w:rsidR="00422037">
        <w:rPr>
          <w:rFonts w:eastAsia="Times New Roman" w:cs="Arial"/>
          <w:color w:val="334047"/>
          <w:szCs w:val="20"/>
          <w:lang w:eastAsia="en-GB"/>
        </w:rPr>
        <w:t>rs Practitioner</w:t>
      </w:r>
      <w:r w:rsidR="004C1E4E">
        <w:rPr>
          <w:rFonts w:eastAsia="Times New Roman" w:cs="Arial"/>
          <w:color w:val="334047"/>
          <w:szCs w:val="20"/>
          <w:lang w:eastAsia="en-GB"/>
        </w:rPr>
        <w:t xml:space="preserve"> </w:t>
      </w:r>
      <w:r w:rsidR="00BA4E69" w:rsidRPr="00A075A1">
        <w:rPr>
          <w:rFonts w:eastAsia="Times New Roman" w:cs="Arial"/>
          <w:color w:val="334047"/>
          <w:szCs w:val="20"/>
          <w:lang w:eastAsia="en-GB"/>
        </w:rPr>
        <w:t xml:space="preserve">Level </w:t>
      </w:r>
      <w:r w:rsidR="00422037">
        <w:rPr>
          <w:rFonts w:eastAsia="Times New Roman" w:cs="Arial"/>
          <w:color w:val="334047"/>
          <w:szCs w:val="20"/>
          <w:lang w:eastAsia="en-GB"/>
        </w:rPr>
        <w:t>2</w:t>
      </w:r>
      <w:r w:rsidR="00BA4E69" w:rsidRPr="00A075A1">
        <w:rPr>
          <w:rFonts w:eastAsia="Times New Roman" w:cs="Arial"/>
          <w:color w:val="334047"/>
          <w:szCs w:val="20"/>
          <w:lang w:eastAsia="en-GB"/>
        </w:rPr>
        <w:t xml:space="preserve"> </w:t>
      </w:r>
      <w:r w:rsidRPr="00A075A1">
        <w:rPr>
          <w:rFonts w:eastAsia="Times New Roman" w:cs="Arial"/>
          <w:color w:val="334047"/>
          <w:szCs w:val="20"/>
          <w:lang w:eastAsia="en-GB"/>
        </w:rPr>
        <w:t xml:space="preserve">Standard, the apprentice will demonstrate competence in the following Knowledge, Skills and Behaviours over a minimum of </w:t>
      </w:r>
      <w:r w:rsidR="00422037">
        <w:rPr>
          <w:rFonts w:eastAsia="Times New Roman" w:cs="Arial"/>
          <w:color w:val="334047"/>
          <w:szCs w:val="20"/>
          <w:lang w:eastAsia="en-GB"/>
        </w:rPr>
        <w:t>15</w:t>
      </w:r>
      <w:r w:rsidRPr="00A075A1">
        <w:rPr>
          <w:rFonts w:eastAsia="Times New Roman" w:cs="Arial"/>
          <w:color w:val="334047"/>
          <w:szCs w:val="20"/>
          <w:lang w:eastAsia="en-GB"/>
        </w:rPr>
        <w:t xml:space="preserve"> months</w:t>
      </w:r>
      <w:r w:rsidR="00BA4E69" w:rsidRPr="00A075A1">
        <w:rPr>
          <w:rFonts w:eastAsia="Times New Roman" w:cs="Arial"/>
          <w:color w:val="334047"/>
          <w:szCs w:val="20"/>
          <w:lang w:eastAsia="en-GB"/>
        </w:rPr>
        <w:t xml:space="preserve"> (on</w:t>
      </w:r>
      <w:r w:rsidR="00A075A1">
        <w:rPr>
          <w:rFonts w:eastAsia="Times New Roman" w:cs="Arial"/>
          <w:color w:val="334047"/>
          <w:szCs w:val="20"/>
          <w:lang w:eastAsia="en-GB"/>
        </w:rPr>
        <w:t>-</w:t>
      </w:r>
      <w:r w:rsidR="00BA4E69" w:rsidRPr="00A075A1">
        <w:rPr>
          <w:rFonts w:eastAsia="Times New Roman" w:cs="Arial"/>
          <w:color w:val="334047"/>
          <w:szCs w:val="20"/>
          <w:lang w:eastAsia="en-GB"/>
        </w:rPr>
        <w:t>programme</w:t>
      </w:r>
      <w:r w:rsidR="00A075A1">
        <w:rPr>
          <w:rFonts w:eastAsia="Times New Roman" w:cs="Arial"/>
          <w:color w:val="334047"/>
          <w:szCs w:val="20"/>
          <w:lang w:eastAsia="en-GB"/>
        </w:rPr>
        <w:t xml:space="preserve"> period</w:t>
      </w:r>
      <w:r w:rsidR="00BA4E69" w:rsidRPr="00A075A1">
        <w:rPr>
          <w:rFonts w:eastAsia="Times New Roman" w:cs="Arial"/>
          <w:color w:val="334047"/>
          <w:szCs w:val="20"/>
          <w:lang w:eastAsia="en-GB"/>
        </w:rPr>
        <w:t>, in learning)</w:t>
      </w:r>
      <w:r w:rsidRPr="00A075A1">
        <w:rPr>
          <w:rFonts w:eastAsia="Times New Roman" w:cs="Arial"/>
          <w:color w:val="334047"/>
          <w:szCs w:val="20"/>
          <w:lang w:eastAsia="en-GB"/>
        </w:rPr>
        <w:t>:</w:t>
      </w:r>
    </w:p>
    <w:tbl>
      <w:tblPr>
        <w:tblStyle w:val="TableGrid1"/>
        <w:tblW w:w="10016" w:type="dxa"/>
        <w:tblInd w:w="0" w:type="dxa"/>
        <w:tblLook w:val="04A0" w:firstRow="1" w:lastRow="0" w:firstColumn="1" w:lastColumn="0" w:noHBand="0" w:noVBand="1"/>
      </w:tblPr>
      <w:tblGrid>
        <w:gridCol w:w="1838"/>
        <w:gridCol w:w="8178"/>
      </w:tblGrid>
      <w:tr w:rsidR="00422037" w:rsidRPr="00422037" w:rsidTr="00B368C6">
        <w:trPr>
          <w:trHeight w:val="571"/>
        </w:trPr>
        <w:tc>
          <w:tcPr>
            <w:tcW w:w="1838" w:type="dxa"/>
            <w:tcBorders>
              <w:left w:val="single" w:sz="4" w:space="0" w:color="auto"/>
              <w:bottom w:val="single" w:sz="4" w:space="0" w:color="auto"/>
              <w:right w:val="single" w:sz="4" w:space="0" w:color="auto"/>
            </w:tcBorders>
          </w:tcPr>
          <w:p w:rsidR="00422037" w:rsidRPr="00422037" w:rsidRDefault="00422037" w:rsidP="00422037">
            <w:pPr>
              <w:spacing w:before="120" w:after="120"/>
              <w:rPr>
                <w:rFonts w:cs="Arial"/>
                <w:b/>
                <w:szCs w:val="20"/>
              </w:rPr>
            </w:pPr>
            <w:r w:rsidRPr="00422037">
              <w:rPr>
                <w:rFonts w:cs="Arial"/>
                <w:b/>
                <w:szCs w:val="20"/>
              </w:rPr>
              <w:t>Knowledge</w:t>
            </w:r>
          </w:p>
        </w:tc>
        <w:tc>
          <w:tcPr>
            <w:tcW w:w="8178" w:type="dxa"/>
            <w:tcBorders>
              <w:left w:val="single" w:sz="4" w:space="0" w:color="auto"/>
              <w:bottom w:val="single" w:sz="4" w:space="0" w:color="auto"/>
              <w:right w:val="single" w:sz="4" w:space="0" w:color="auto"/>
            </w:tcBorders>
          </w:tcPr>
          <w:p w:rsidR="00422037" w:rsidRPr="00422037" w:rsidRDefault="00422037" w:rsidP="00422037">
            <w:pPr>
              <w:spacing w:before="120" w:after="120"/>
              <w:ind w:left="171" w:hanging="171"/>
              <w:rPr>
                <w:rFonts w:cs="Arial"/>
                <w:b/>
                <w:szCs w:val="20"/>
              </w:rPr>
            </w:pPr>
            <w:r w:rsidRPr="00422037">
              <w:rPr>
                <w:rFonts w:cs="Arial"/>
                <w:b/>
                <w:szCs w:val="20"/>
              </w:rPr>
              <w:t>What is required</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rPr>
                <w:rFonts w:cs="Arial"/>
                <w:szCs w:val="20"/>
              </w:rPr>
            </w:pPr>
            <w:r w:rsidRPr="00422037">
              <w:rPr>
                <w:rFonts w:cs="Arial"/>
                <w:szCs w:val="20"/>
              </w:rPr>
              <w:t>How children learn and the expected pattern of babies and children’s development from birth to 5 years and their further development from ages 5 to 7. Areas of development include: - cognitive, speech, language and communication, physical, emotional, social, brain development and literacy and numeracy</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hd w:val="clear" w:color="auto" w:fill="FFFFFF"/>
              <w:spacing w:before="120" w:after="120" w:line="240" w:lineRule="auto"/>
              <w:jc w:val="left"/>
              <w:textAlignment w:val="baseline"/>
              <w:rPr>
                <w:rFonts w:cs="Arial"/>
                <w:szCs w:val="20"/>
              </w:rPr>
            </w:pPr>
            <w:r w:rsidRPr="00422037">
              <w:rPr>
                <w:rFonts w:cs="Arial"/>
                <w:szCs w:val="20"/>
              </w:rPr>
              <w:t>The importance to children’s holistic development of, speech, language and communication, personal, social and emotional development, physical development and literacy and numeracy</w:t>
            </w:r>
          </w:p>
        </w:tc>
      </w:tr>
      <w:tr w:rsidR="00422037" w:rsidRPr="00422037" w:rsidTr="00B368C6">
        <w:trPr>
          <w:trHeight w:val="705"/>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K3</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How babies’ and young children’s learning and development can be affected by their stage of development, well-being and individual circumstances.</w:t>
            </w:r>
          </w:p>
        </w:tc>
      </w:tr>
      <w:tr w:rsidR="00422037" w:rsidRPr="00422037" w:rsidTr="00B368C6">
        <w:trPr>
          <w:trHeight w:val="662"/>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K4</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significance of attachment, the key person's role and how transitions and other significant events impact children.</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K5</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legal requirements and guidance on safeguarding, security, confidentiality of information and promoting the welfare of children</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K6</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Safeguarding policies and procedures, including child protection and online safety</w:t>
            </w:r>
          </w:p>
        </w:tc>
      </w:tr>
      <w:tr w:rsidR="00422037" w:rsidRPr="00422037" w:rsidTr="00B368C6">
        <w:trPr>
          <w:trHeight w:val="742"/>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K7</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Own role and responsibilities in relation to safeguarding and security, including child protection, reporting and confidentiality of information</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K8</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legal requirements and guidance for, Health and safety and Security.</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K9</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Risks and hazards in the work setting and during off site visits</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K10</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Own role and responsibilities, including reporting, in the event of a baby or young child requiring medical/ dental attention, a non-medical incident or emergency and identifying risks and hazards.</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K11</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work settings procedures for receiving, storing, recording, administration and the safe disposal of medicines</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lastRenderedPageBreak/>
              <w:t>K12</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signs and symptoms which may indicate that a child is injured, unwell (including common childhood illnesses and allergies) or in need of urgent medical/ dental attention</w:t>
            </w:r>
          </w:p>
        </w:tc>
      </w:tr>
      <w:tr w:rsidR="00422037" w:rsidRPr="00422037" w:rsidTr="00422037">
        <w:trPr>
          <w:trHeight w:val="578"/>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K13</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impact of health and wellbeing on children’s development</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K14</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current dietary guidance for early years and why it is important for babies and young children to have a healthy balanced diet and be physically active</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K15</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Ways to communicate with all children appropriate for all their stages of development, including those whom English is an additional language (EAL) or who have delayed speech</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K16</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statutory framework, including the learning and development requirements for babies and young children that must be implemented by your setting</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K17</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terms adult led activities, child-initiated activities and spontaneous experiences</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K18</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key stages in the observation, assessment and planning cycle and the value of observation for the child, the parents/ carers and the early years setting in planning the next steps</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K19</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How to refer concerns about a baby’s or child’s development</w:t>
            </w:r>
          </w:p>
        </w:tc>
      </w:tr>
      <w:tr w:rsidR="00422037" w:rsidRPr="00422037" w:rsidTr="00422037">
        <w:trPr>
          <w:trHeight w:val="596"/>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K20</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statutory guidance in relation to the care and education of children with special educational needs and disabilities</w:t>
            </w:r>
          </w:p>
        </w:tc>
      </w:tr>
      <w:tr w:rsidR="00422037" w:rsidRPr="00422037" w:rsidTr="00422037">
        <w:trPr>
          <w:trHeight w:val="735"/>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K21</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Partnership working (including parents/carers) in relation to working effectively with children with special educational needs and disabilities</w:t>
            </w:r>
          </w:p>
        </w:tc>
      </w:tr>
      <w:tr w:rsidR="00422037" w:rsidRPr="00422037" w:rsidTr="00422037">
        <w:trPr>
          <w:trHeight w:val="560"/>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K22</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What specialist aids, resources and equipment are available for the children you work with and how to use these safely</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K23</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Own role and expected behaviours and the roles of colleagues and the team</w:t>
            </w:r>
          </w:p>
        </w:tc>
      </w:tr>
      <w:tr w:rsidR="00422037" w:rsidRPr="00422037" w:rsidTr="00B368C6">
        <w:trPr>
          <w:trHeight w:val="729"/>
        </w:trPr>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K24</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How to access workplace policies and procedures and your own responsibilities and accountabilities relating to these</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K25</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How behaviour can impact on babies and children and influence them</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K26</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Own responsibilities when following procedures in the work setting for reporting, whistleblowing, protecting and promoting the welfare of children, safeguarding, confidentiality, information sharing and use of technology</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K27</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importance of reflective practice and continued professional development to improve own skills and early years practice</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K28</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roles and responsibilities of other agencies and professionals that work with and support your setting, both statutory and non-statutory</w:t>
            </w:r>
          </w:p>
        </w:tc>
      </w:tr>
      <w:tr w:rsidR="00422037" w:rsidRPr="00422037" w:rsidTr="00B368C6">
        <w:tc>
          <w:tcPr>
            <w:tcW w:w="183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jc w:val="left"/>
              <w:rPr>
                <w:rFonts w:cs="Arial"/>
                <w:b/>
                <w:bCs/>
                <w:szCs w:val="20"/>
              </w:rPr>
            </w:pPr>
            <w:r w:rsidRPr="00422037">
              <w:rPr>
                <w:rFonts w:cs="Arial"/>
                <w:b/>
                <w:bCs/>
                <w:szCs w:val="20"/>
              </w:rPr>
              <w:t>K29</w:t>
            </w:r>
          </w:p>
        </w:tc>
        <w:tc>
          <w:tcPr>
            <w:tcW w:w="8178" w:type="dxa"/>
            <w:tcBorders>
              <w:top w:val="single" w:sz="4" w:space="0" w:color="auto"/>
              <w:left w:val="single" w:sz="4" w:space="0" w:color="auto"/>
              <w:bottom w:val="single" w:sz="4" w:space="0" w:color="auto"/>
              <w:right w:val="single" w:sz="4" w:space="0" w:color="auto"/>
            </w:tcBorders>
          </w:tcPr>
          <w:p w:rsidR="00422037" w:rsidRPr="00422037" w:rsidRDefault="00422037" w:rsidP="00422037">
            <w:pPr>
              <w:spacing w:before="120" w:after="120" w:line="240" w:lineRule="auto"/>
              <w:jc w:val="left"/>
              <w:textAlignment w:val="baseline"/>
              <w:rPr>
                <w:rFonts w:cs="Arial"/>
                <w:szCs w:val="20"/>
              </w:rPr>
            </w:pPr>
            <w:r w:rsidRPr="00422037">
              <w:rPr>
                <w:rFonts w:cs="Arial"/>
                <w:szCs w:val="20"/>
              </w:rPr>
              <w:t>The importance of the voice of the child, parental/carer engagement, the home learning environment and their roles in early learning</w:t>
            </w:r>
          </w:p>
        </w:tc>
      </w:tr>
      <w:tr w:rsidR="00422037" w:rsidRPr="00422037" w:rsidTr="00B368C6">
        <w:trPr>
          <w:trHeight w:val="400"/>
        </w:trPr>
        <w:tc>
          <w:tcPr>
            <w:tcW w:w="1838" w:type="dxa"/>
          </w:tcPr>
          <w:p w:rsidR="00422037" w:rsidRPr="00422037" w:rsidRDefault="00422037" w:rsidP="00422037">
            <w:pPr>
              <w:spacing w:before="120" w:after="120"/>
              <w:rPr>
                <w:rFonts w:cs="Arial"/>
                <w:b/>
                <w:bCs/>
                <w:szCs w:val="20"/>
              </w:rPr>
            </w:pPr>
            <w:r w:rsidRPr="00422037">
              <w:rPr>
                <w:rFonts w:cs="Arial"/>
                <w:b/>
                <w:bCs/>
                <w:szCs w:val="20"/>
              </w:rPr>
              <w:t>Skills</w:t>
            </w:r>
          </w:p>
        </w:tc>
        <w:tc>
          <w:tcPr>
            <w:tcW w:w="8178" w:type="dxa"/>
          </w:tcPr>
          <w:p w:rsidR="00422037" w:rsidRPr="00422037" w:rsidRDefault="00422037" w:rsidP="00422037">
            <w:pPr>
              <w:spacing w:before="120" w:after="120"/>
              <w:rPr>
                <w:rFonts w:cs="Arial"/>
                <w:b/>
                <w:bCs/>
                <w:color w:val="334047"/>
                <w:szCs w:val="20"/>
                <w:bdr w:val="none" w:sz="0" w:space="0" w:color="auto" w:frame="1"/>
              </w:rPr>
            </w:pPr>
            <w:r w:rsidRPr="00422037">
              <w:rPr>
                <w:rFonts w:cs="Arial"/>
                <w:b/>
                <w:bCs/>
                <w:color w:val="334047"/>
                <w:szCs w:val="20"/>
                <w:bdr w:val="none" w:sz="0" w:space="0" w:color="auto" w:frame="1"/>
              </w:rPr>
              <w:t>What is required</w:t>
            </w:r>
          </w:p>
        </w:tc>
      </w:tr>
      <w:tr w:rsidR="00422037" w:rsidRPr="00422037" w:rsidTr="00B368C6">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w:t>
            </w:r>
          </w:p>
        </w:tc>
        <w:tc>
          <w:tcPr>
            <w:tcW w:w="8178" w:type="dxa"/>
          </w:tcPr>
          <w:p w:rsidR="00422037" w:rsidRPr="00422037" w:rsidRDefault="00422037" w:rsidP="00422037">
            <w:pPr>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Support babies and young children through a range of transitions such as moving onto school, moving house or the birth of a sibling</w:t>
            </w:r>
          </w:p>
        </w:tc>
      </w:tr>
      <w:tr w:rsidR="00422037" w:rsidRPr="00422037" w:rsidTr="00B368C6">
        <w:trPr>
          <w:trHeight w:val="783"/>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S2</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Recognise when a child is in danger, at risk of serious harm or abuse and explain the procedures to be followed to protect them. Types of abuse including: domestic, neglect, physical, emotional, and sexual abuse</w:t>
            </w:r>
          </w:p>
        </w:tc>
      </w:tr>
      <w:tr w:rsidR="00422037" w:rsidRPr="00422037" w:rsidTr="00B368C6">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lastRenderedPageBreak/>
              <w:t>S3</w:t>
            </w:r>
          </w:p>
        </w:tc>
        <w:tc>
          <w:tcPr>
            <w:tcW w:w="8178" w:type="dxa"/>
          </w:tcPr>
          <w:p w:rsidR="00422037" w:rsidRPr="00422037" w:rsidRDefault="00422037" w:rsidP="00422037">
            <w:pPr>
              <w:spacing w:before="120" w:after="120" w:line="240" w:lineRule="auto"/>
              <w:textAlignment w:val="baseline"/>
              <w:rPr>
                <w:rFonts w:cs="Arial"/>
                <w:color w:val="334047"/>
                <w:szCs w:val="20"/>
              </w:rPr>
            </w:pPr>
            <w:r w:rsidRPr="00422037">
              <w:rPr>
                <w:rFonts w:cs="Arial"/>
                <w:color w:val="334047"/>
                <w:szCs w:val="20"/>
              </w:rPr>
              <w:t>Identify risks and hazards in the work setting and during off site visits relating to both children and staff</w:t>
            </w:r>
          </w:p>
        </w:tc>
      </w:tr>
      <w:tr w:rsidR="00422037" w:rsidRPr="00422037" w:rsidTr="00B368C6">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S4</w:t>
            </w:r>
          </w:p>
          <w:p w:rsidR="00422037" w:rsidRPr="00422037" w:rsidRDefault="00422037" w:rsidP="00422037">
            <w:pPr>
              <w:spacing w:before="120" w:after="120"/>
              <w:jc w:val="left"/>
              <w:rPr>
                <w:rFonts w:cs="Arial"/>
                <w:b/>
                <w:bCs/>
                <w:szCs w:val="20"/>
              </w:rPr>
            </w:pP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Demonstrate skills and understanding for the prevention and control of infection, including hand washing, food preparation and hygiene, dealing with spillages safely, safe disposal of waste, using correct personal protective equipment</w:t>
            </w:r>
          </w:p>
        </w:tc>
      </w:tr>
      <w:tr w:rsidR="00422037" w:rsidRPr="00422037" w:rsidTr="00B368C6">
        <w:trPr>
          <w:trHeight w:val="822"/>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S5</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Use equipment, furniture and materials safely, following the manufacturers’ instructions and setting’s requirements</w:t>
            </w:r>
          </w:p>
        </w:tc>
      </w:tr>
      <w:tr w:rsidR="00422037" w:rsidRPr="00422037" w:rsidTr="00422037">
        <w:trPr>
          <w:trHeight w:val="701"/>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S6</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Encourage children to be aware of personal safety and the safety of others and develop personal hygiene practices (including oral hygiene)</w:t>
            </w:r>
          </w:p>
        </w:tc>
      </w:tr>
      <w:tr w:rsidR="00422037" w:rsidRPr="00422037" w:rsidTr="00422037">
        <w:trPr>
          <w:trHeight w:val="1149"/>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S7</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Promote health and wellbeing in settings by encouraging babies and young children to consume healthy and balanced meals, snacks and drinks appropriate for their age and be physically active through planned and spontaneous activity throughout the day, both indoors and outdoors.</w:t>
            </w:r>
          </w:p>
        </w:tc>
      </w:tr>
      <w:tr w:rsidR="00422037" w:rsidRPr="00422037" w:rsidTr="00422037">
        <w:trPr>
          <w:trHeight w:val="1109"/>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S8</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Carry out respectful care routines appropriate to the development, stage, dignity and needs of the child, including eating (feeding and weaning/complimentary feeding), nappy changing procedures, potty/toilet training, care of skin, teeth and hair and rest and sleep provision</w:t>
            </w:r>
          </w:p>
        </w:tc>
      </w:tr>
      <w:tr w:rsidR="00422037" w:rsidRPr="00422037" w:rsidTr="00422037">
        <w:trPr>
          <w:trHeight w:val="630"/>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S9</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Communicate with all children in ways that will be understood, including verbal and non-verbal communication</w:t>
            </w:r>
          </w:p>
        </w:tc>
      </w:tr>
      <w:tr w:rsidR="00422037" w:rsidRPr="00422037" w:rsidTr="00422037">
        <w:trPr>
          <w:trHeight w:val="627"/>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S10</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Extend children’s development and learning through verbal and non-verbal communication</w:t>
            </w:r>
          </w:p>
        </w:tc>
      </w:tr>
      <w:tr w:rsidR="00422037" w:rsidRPr="00422037" w:rsidTr="00422037">
        <w:trPr>
          <w:trHeight w:val="623"/>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S11</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Encourage babies and young children to use a range of communication methods</w:t>
            </w:r>
          </w:p>
        </w:tc>
      </w:tr>
      <w:tr w:rsidR="00422037" w:rsidRPr="00422037" w:rsidTr="00422037">
        <w:trPr>
          <w:trHeight w:val="561"/>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S12</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Use a range of communication methods to exchange information with children and adults</w:t>
            </w:r>
          </w:p>
        </w:tc>
      </w:tr>
      <w:tr w:rsidR="00422037" w:rsidRPr="00422037" w:rsidTr="00B368C6">
        <w:trPr>
          <w:trHeight w:val="1127"/>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S13</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Work with colleagues to identify and plan enabling environments, activities (both indoors and outdoors), play opportunities and educational programmes (both adult led and child initiated) to support children’s holistic development through a range of play, creativity, social development and learning</w:t>
            </w:r>
          </w:p>
        </w:tc>
      </w:tr>
      <w:tr w:rsidR="00422037" w:rsidRPr="00422037" w:rsidTr="00422037">
        <w:trPr>
          <w:trHeight w:val="656"/>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S14</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Implement and review activities to support children’s play, creativity, social development and learning and clear up after activities</w:t>
            </w:r>
          </w:p>
        </w:tc>
      </w:tr>
      <w:tr w:rsidR="00422037" w:rsidRPr="00422037" w:rsidTr="00422037">
        <w:trPr>
          <w:trHeight w:val="652"/>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S15</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Observe children, assess, plan and record the outcomes, sharing results accurately and confidentially in line with expected statutory framework and setting’s requirements</w:t>
            </w:r>
          </w:p>
        </w:tc>
      </w:tr>
      <w:tr w:rsidR="00422037" w:rsidRPr="00422037" w:rsidTr="00422037">
        <w:trPr>
          <w:trHeight w:val="507"/>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S16</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Use learning activities to support early language development</w:t>
            </w:r>
          </w:p>
        </w:tc>
      </w:tr>
      <w:tr w:rsidR="00422037" w:rsidRPr="00422037" w:rsidTr="00422037">
        <w:trPr>
          <w:trHeight w:val="685"/>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S17</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7 Support children’s early interest and development in mark making, writing, reading and being read to</w:t>
            </w:r>
          </w:p>
        </w:tc>
      </w:tr>
      <w:tr w:rsidR="00422037" w:rsidRPr="00422037" w:rsidTr="00B368C6">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S18</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Support children’s interest and development in mathematical learning including numbers, number patterns, counting, sorting and matching</w:t>
            </w:r>
          </w:p>
        </w:tc>
      </w:tr>
      <w:tr w:rsidR="00422037" w:rsidRPr="00422037" w:rsidTr="00B368C6">
        <w:trPr>
          <w:trHeight w:val="700"/>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S19</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Support the assessment, planning, implementation and reviewing (the graduated approach) of each baby’s and young child's individual plan for their care and participation</w:t>
            </w:r>
          </w:p>
        </w:tc>
      </w:tr>
      <w:tr w:rsidR="00422037" w:rsidRPr="00422037" w:rsidTr="00B368C6">
        <w:trPr>
          <w:trHeight w:val="696"/>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S20</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Work in ways that value and respect the developmental needs and stages of babies and children</w:t>
            </w:r>
          </w:p>
        </w:tc>
      </w:tr>
      <w:tr w:rsidR="00422037" w:rsidRPr="00422037" w:rsidTr="00B368C6">
        <w:trPr>
          <w:trHeight w:val="693"/>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S21</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Use feedback, mentoring and/or supervision to identify and support areas for development, goals and career opportunities</w:t>
            </w:r>
          </w:p>
        </w:tc>
      </w:tr>
      <w:tr w:rsidR="00422037" w:rsidRPr="00422037" w:rsidTr="00B368C6">
        <w:trPr>
          <w:trHeight w:val="688"/>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lastRenderedPageBreak/>
              <w:t>S22</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Work co-operatively with colleagues, other professionals and agencies to meet the needs of babies and young children and enable them to progress</w:t>
            </w:r>
          </w:p>
        </w:tc>
      </w:tr>
      <w:tr w:rsidR="00422037" w:rsidRPr="00422037" w:rsidTr="00B368C6">
        <w:trPr>
          <w:trHeight w:val="698"/>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S23</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Work alongside parents and/or carers and recognise their role in the baby’s/child’s health, wellbeing, learning and development</w:t>
            </w:r>
          </w:p>
        </w:tc>
      </w:tr>
      <w:tr w:rsidR="00422037" w:rsidRPr="00422037" w:rsidTr="00B368C6">
        <w:trPr>
          <w:trHeight w:val="694"/>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S24</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Encourage parents and/or carers to take an active role in the baby’s/child’s care, play, learning and development.</w:t>
            </w:r>
          </w:p>
        </w:tc>
      </w:tr>
      <w:tr w:rsidR="00422037" w:rsidRPr="00422037" w:rsidTr="00B368C6">
        <w:trPr>
          <w:trHeight w:val="690"/>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S25</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Demonstrate how to share information with parents/carers about the importance of healthy balanced diets, looking after teeth and being physically active</w:t>
            </w:r>
          </w:p>
        </w:tc>
      </w:tr>
      <w:tr w:rsidR="00422037" w:rsidRPr="00422037" w:rsidTr="00B368C6">
        <w:trPr>
          <w:trHeight w:val="520"/>
        </w:trPr>
        <w:tc>
          <w:tcPr>
            <w:tcW w:w="1838" w:type="dxa"/>
          </w:tcPr>
          <w:p w:rsidR="00422037" w:rsidRPr="00422037" w:rsidRDefault="00422037" w:rsidP="00422037">
            <w:pPr>
              <w:spacing w:before="120" w:after="120"/>
              <w:rPr>
                <w:rFonts w:cs="Arial"/>
                <w:b/>
                <w:bCs/>
                <w:szCs w:val="20"/>
              </w:rPr>
            </w:pPr>
            <w:r w:rsidRPr="00422037">
              <w:rPr>
                <w:rFonts w:cs="Arial"/>
                <w:b/>
                <w:bCs/>
                <w:szCs w:val="20"/>
              </w:rPr>
              <w:t>Behaviours</w:t>
            </w:r>
          </w:p>
        </w:tc>
        <w:tc>
          <w:tcPr>
            <w:tcW w:w="8178" w:type="dxa"/>
          </w:tcPr>
          <w:p w:rsidR="00422037" w:rsidRPr="00422037" w:rsidRDefault="00422037" w:rsidP="00422037">
            <w:pPr>
              <w:spacing w:before="120" w:after="120"/>
              <w:ind w:left="171" w:hanging="171"/>
              <w:rPr>
                <w:rFonts w:cs="Arial"/>
                <w:b/>
                <w:bCs/>
                <w:color w:val="334047"/>
                <w:szCs w:val="20"/>
                <w:bdr w:val="none" w:sz="0" w:space="0" w:color="auto" w:frame="1"/>
              </w:rPr>
            </w:pPr>
            <w:r w:rsidRPr="00422037">
              <w:rPr>
                <w:rFonts w:cs="Arial"/>
                <w:b/>
                <w:bCs/>
                <w:color w:val="334047"/>
                <w:szCs w:val="20"/>
                <w:bdr w:val="none" w:sz="0" w:space="0" w:color="auto" w:frame="1"/>
              </w:rPr>
              <w:t>What is required</w:t>
            </w:r>
          </w:p>
        </w:tc>
      </w:tr>
      <w:tr w:rsidR="00422037" w:rsidRPr="00422037" w:rsidTr="00B368C6">
        <w:trPr>
          <w:trHeight w:val="722"/>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B1</w:t>
            </w:r>
          </w:p>
        </w:tc>
        <w:tc>
          <w:tcPr>
            <w:tcW w:w="8178" w:type="dxa"/>
          </w:tcPr>
          <w:p w:rsidR="00422037" w:rsidRPr="00422037" w:rsidRDefault="00422037" w:rsidP="00422037">
            <w:pPr>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Care and compassion - provide the very best childcare to every child every day combined with the ability to identify opportunities for development</w:t>
            </w:r>
          </w:p>
        </w:tc>
      </w:tr>
      <w:tr w:rsidR="00422037" w:rsidRPr="00422037" w:rsidTr="00B368C6">
        <w:trPr>
          <w:trHeight w:val="704"/>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B2</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Honesty, trust and integrity - develop trust by working in a confidential, ethical and empathetic manner with a common sense and professional attitude.</w:t>
            </w:r>
          </w:p>
        </w:tc>
      </w:tr>
      <w:tr w:rsidR="00422037" w:rsidRPr="00422037" w:rsidTr="00B368C6">
        <w:trPr>
          <w:trHeight w:val="709"/>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B3</w:t>
            </w:r>
          </w:p>
        </w:tc>
        <w:tc>
          <w:tcPr>
            <w:tcW w:w="8178" w:type="dxa"/>
          </w:tcPr>
          <w:p w:rsidR="00422037" w:rsidRPr="00422037" w:rsidRDefault="00422037" w:rsidP="00422037">
            <w:pPr>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Positive work ethic – maintains professional standards within the work environment providing a positive role model for children.</w:t>
            </w:r>
          </w:p>
        </w:tc>
      </w:tr>
      <w:tr w:rsidR="00422037" w:rsidRPr="00422037" w:rsidTr="00B368C6">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B4</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Being team-focused - work effectively with colleagues and other professionals</w:t>
            </w:r>
          </w:p>
        </w:tc>
      </w:tr>
      <w:tr w:rsidR="00422037" w:rsidRPr="00422037" w:rsidTr="00B368C6">
        <w:trPr>
          <w:trHeight w:val="726"/>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B5</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Commitment - to improving the outcomes for children through inspiration and child centred care and education.</w:t>
            </w:r>
          </w:p>
        </w:tc>
      </w:tr>
      <w:tr w:rsidR="00422037" w:rsidRPr="00422037" w:rsidTr="00B368C6">
        <w:trPr>
          <w:trHeight w:val="1275"/>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B6</w:t>
            </w:r>
          </w:p>
          <w:p w:rsidR="00422037" w:rsidRPr="00422037" w:rsidRDefault="00422037" w:rsidP="00422037">
            <w:pPr>
              <w:spacing w:before="120" w:after="120"/>
              <w:jc w:val="left"/>
              <w:rPr>
                <w:rFonts w:cs="Arial"/>
                <w:b/>
                <w:bCs/>
                <w:szCs w:val="20"/>
              </w:rPr>
            </w:pP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Work in a non- discriminatory way - by being aware of differences and ensuring all children have equal access to opportunities to learn, develop and reach their potential. Work in ways which consider fundamental British values including democracy, the rule of the law, individual liberty and mutual respect and tolerance of those with different faiths and beliefs</w:t>
            </w:r>
          </w:p>
        </w:tc>
      </w:tr>
      <w:tr w:rsidR="00422037" w:rsidRPr="00422037" w:rsidTr="00B368C6">
        <w:trPr>
          <w:trHeight w:val="969"/>
        </w:trPr>
        <w:tc>
          <w:tcPr>
            <w:tcW w:w="1838" w:type="dxa"/>
          </w:tcPr>
          <w:p w:rsidR="00422037" w:rsidRPr="00422037" w:rsidRDefault="00422037" w:rsidP="00422037">
            <w:pPr>
              <w:spacing w:before="120" w:after="120"/>
              <w:jc w:val="left"/>
              <w:rPr>
                <w:rFonts w:cs="Arial"/>
                <w:b/>
                <w:bCs/>
                <w:szCs w:val="20"/>
              </w:rPr>
            </w:pPr>
            <w:r w:rsidRPr="00422037">
              <w:rPr>
                <w:rFonts w:cs="Arial"/>
                <w:b/>
                <w:bCs/>
                <w:szCs w:val="20"/>
              </w:rPr>
              <w:t>B7</w:t>
            </w:r>
          </w:p>
        </w:tc>
        <w:tc>
          <w:tcPr>
            <w:tcW w:w="8178" w:type="dxa"/>
          </w:tcPr>
          <w:p w:rsidR="00422037" w:rsidRPr="00422037" w:rsidRDefault="00422037" w:rsidP="00422037">
            <w:pPr>
              <w:shd w:val="clear" w:color="auto" w:fill="FFFFFF"/>
              <w:spacing w:before="120" w:after="120" w:line="240" w:lineRule="auto"/>
              <w:jc w:val="left"/>
              <w:textAlignment w:val="baseline"/>
              <w:rPr>
                <w:rFonts w:eastAsia="Times New Roman" w:cs="Arial"/>
                <w:color w:val="334047"/>
                <w:szCs w:val="20"/>
                <w:lang w:eastAsia="en-GB"/>
              </w:rPr>
            </w:pPr>
            <w:r w:rsidRPr="00422037">
              <w:rPr>
                <w:rFonts w:eastAsia="Times New Roman" w:cs="Arial"/>
                <w:color w:val="334047"/>
                <w:szCs w:val="20"/>
                <w:lang w:eastAsia="en-GB"/>
              </w:rPr>
              <w:t>Professional Practice – be a reflective practitioner with a commitment to continued professional development adhering to legislation, policy and procedure with a positive disposition to work</w:t>
            </w:r>
          </w:p>
        </w:tc>
      </w:tr>
    </w:tbl>
    <w:p w:rsidR="00085AD9" w:rsidRDefault="00085AD9" w:rsidP="00DF57D9">
      <w:pPr>
        <w:spacing w:before="0" w:after="160" w:line="259" w:lineRule="auto"/>
        <w:rPr>
          <w:rFonts w:eastAsia="Times New Roman" w:cs="Arial"/>
          <w:b/>
          <w:color w:val="333333"/>
          <w:szCs w:val="20"/>
          <w:lang w:val="en-US" w:eastAsia="en-GB"/>
        </w:rPr>
      </w:pPr>
    </w:p>
    <w:p w:rsidR="00085AD9" w:rsidRPr="00085AD9" w:rsidRDefault="00085AD9" w:rsidP="00DF57D9">
      <w:pPr>
        <w:spacing w:before="0" w:after="160" w:line="259" w:lineRule="auto"/>
        <w:rPr>
          <w:rFonts w:eastAsia="Times New Roman" w:cs="Arial"/>
          <w:b/>
          <w:color w:val="333333"/>
          <w:szCs w:val="20"/>
          <w:lang w:val="en-US" w:eastAsia="en-GB"/>
        </w:rPr>
      </w:pPr>
      <w:r w:rsidRPr="00085AD9">
        <w:rPr>
          <w:rFonts w:eastAsia="Times New Roman" w:cs="Arial"/>
          <w:b/>
          <w:color w:val="333333"/>
          <w:szCs w:val="20"/>
          <w:lang w:val="en-US" w:eastAsia="en-GB"/>
        </w:rPr>
        <w:t>Mandatory Qualifications</w:t>
      </w:r>
    </w:p>
    <w:p w:rsidR="00085AD9" w:rsidRDefault="00085AD9" w:rsidP="00DF57D9">
      <w:pPr>
        <w:spacing w:before="0" w:after="160" w:line="259" w:lineRule="auto"/>
        <w:rPr>
          <w:rFonts w:eastAsia="Times New Roman" w:cs="Arial"/>
          <w:color w:val="333333"/>
          <w:szCs w:val="20"/>
          <w:lang w:val="en-US" w:eastAsia="en-GB"/>
        </w:rPr>
      </w:pPr>
      <w:r>
        <w:rPr>
          <w:rFonts w:eastAsia="Times New Roman" w:cs="Arial"/>
          <w:color w:val="333333"/>
          <w:szCs w:val="20"/>
          <w:lang w:val="en-US" w:eastAsia="en-GB"/>
        </w:rPr>
        <w:t xml:space="preserve">Diploma for the Early Year Practitioner Level 2 </w:t>
      </w:r>
      <w:r w:rsidR="003F161B">
        <w:rPr>
          <w:rFonts w:eastAsia="Times New Roman" w:cs="Arial"/>
          <w:color w:val="333333"/>
          <w:szCs w:val="20"/>
          <w:lang w:val="en-US" w:eastAsia="en-GB"/>
        </w:rPr>
        <w:t>–</w:t>
      </w:r>
      <w:r>
        <w:rPr>
          <w:rFonts w:eastAsia="Times New Roman" w:cs="Arial"/>
          <w:color w:val="333333"/>
          <w:szCs w:val="20"/>
          <w:lang w:val="en-US" w:eastAsia="en-GB"/>
        </w:rPr>
        <w:t xml:space="preserve"> </w:t>
      </w:r>
      <w:r w:rsidR="003F161B">
        <w:rPr>
          <w:rFonts w:eastAsia="Times New Roman" w:cs="Arial"/>
          <w:color w:val="333333"/>
          <w:szCs w:val="20"/>
          <w:lang w:val="en-US" w:eastAsia="en-GB"/>
        </w:rPr>
        <w:t xml:space="preserve">The qualification outcomes </w:t>
      </w:r>
      <w:r w:rsidR="00DF57D9">
        <w:rPr>
          <w:rFonts w:eastAsia="Times New Roman" w:cs="Arial"/>
          <w:color w:val="333333"/>
          <w:szCs w:val="20"/>
          <w:lang w:val="en-US" w:eastAsia="en-GB"/>
        </w:rPr>
        <w:t>have</w:t>
      </w:r>
      <w:r w:rsidR="003F161B">
        <w:rPr>
          <w:rFonts w:eastAsia="Times New Roman" w:cs="Arial"/>
          <w:color w:val="333333"/>
          <w:szCs w:val="20"/>
          <w:lang w:val="en-US" w:eastAsia="en-GB"/>
        </w:rPr>
        <w:t xml:space="preserve"> been mapped to the KSBs detailed above.</w:t>
      </w:r>
    </w:p>
    <w:p w:rsidR="00085AD9" w:rsidRPr="00741BA3" w:rsidRDefault="00085AD9" w:rsidP="00DF57D9">
      <w:pPr>
        <w:rPr>
          <w:b/>
        </w:rPr>
      </w:pPr>
      <w:r w:rsidRPr="00741BA3">
        <w:rPr>
          <w:b/>
        </w:rPr>
        <w:t>English</w:t>
      </w:r>
      <w:r>
        <w:rPr>
          <w:b/>
        </w:rPr>
        <w:t xml:space="preserve"> and Maths</w:t>
      </w:r>
    </w:p>
    <w:p w:rsidR="00085AD9" w:rsidRDefault="00085AD9" w:rsidP="00DF57D9">
      <w:pPr>
        <w:spacing w:before="0" w:after="160" w:line="259" w:lineRule="auto"/>
      </w:pPr>
      <w:r>
        <w:t>Apprentices will be required to have or achieve Level 1 English and Maths (GCSE grades D – G / 3 – 1 are equivalent to Level 1)</w:t>
      </w:r>
      <w:r w:rsidR="003F161B">
        <w:t xml:space="preserve">  </w:t>
      </w:r>
      <w:r w:rsidR="003F161B">
        <w:t>before they can do the EPA.</w:t>
      </w:r>
      <w:r w:rsidR="003F161B">
        <w:t xml:space="preserve">  F</w:t>
      </w:r>
      <w:r w:rsidR="003F161B">
        <w:rPr>
          <w:szCs w:val="20"/>
        </w:rPr>
        <w:t xml:space="preserve">or those with an education, health and care plan or a legacy statement, the apprenticeship’s English and Mathematics minimum requirement is Entry Level 3. British Sign Language </w:t>
      </w:r>
      <w:r w:rsidR="003F161B">
        <w:rPr>
          <w:szCs w:val="20"/>
        </w:rPr>
        <w:t>(</w:t>
      </w:r>
      <w:r w:rsidR="003F161B">
        <w:rPr>
          <w:szCs w:val="20"/>
        </w:rPr>
        <w:t>BSL</w:t>
      </w:r>
      <w:r w:rsidR="003F161B">
        <w:rPr>
          <w:szCs w:val="20"/>
        </w:rPr>
        <w:t>)</w:t>
      </w:r>
      <w:r w:rsidR="003F161B">
        <w:rPr>
          <w:szCs w:val="20"/>
        </w:rPr>
        <w:t xml:space="preserve"> qualifications are an alternative to English qualifications for those who have BSL as their primary language). </w:t>
      </w:r>
    </w:p>
    <w:p w:rsidR="00527379" w:rsidRPr="00A075A1" w:rsidRDefault="00527379" w:rsidP="00DF57D9">
      <w:pPr>
        <w:shd w:val="clear" w:color="auto" w:fill="FFFFFF"/>
        <w:spacing w:before="100" w:beforeAutospacing="1" w:line="240" w:lineRule="auto"/>
        <w:rPr>
          <w:rFonts w:eastAsia="Times New Roman" w:cs="Arial"/>
          <w:b/>
          <w:color w:val="333333"/>
          <w:szCs w:val="20"/>
          <w:lang w:val="en-US" w:eastAsia="en-GB"/>
        </w:rPr>
      </w:pPr>
      <w:r w:rsidRPr="00A075A1">
        <w:rPr>
          <w:rFonts w:eastAsia="Times New Roman" w:cs="Arial"/>
          <w:b/>
          <w:color w:val="333333"/>
          <w:szCs w:val="20"/>
          <w:lang w:val="en-US" w:eastAsia="en-GB"/>
        </w:rPr>
        <w:t>End Point Assessment (EPA)</w:t>
      </w:r>
    </w:p>
    <w:p w:rsidR="00527379" w:rsidRDefault="00A075A1" w:rsidP="00DF57D9">
      <w:pPr>
        <w:shd w:val="clear" w:color="auto" w:fill="FFFFFF"/>
        <w:spacing w:before="100" w:beforeAutospacing="1" w:line="240" w:lineRule="auto"/>
        <w:rPr>
          <w:rFonts w:cs="Arial"/>
          <w:szCs w:val="20"/>
        </w:rPr>
      </w:pPr>
      <w:r>
        <w:rPr>
          <w:rFonts w:eastAsia="Times New Roman" w:cs="Arial"/>
          <w:color w:val="333333"/>
          <w:szCs w:val="20"/>
          <w:lang w:val="en-US" w:eastAsia="en-GB"/>
        </w:rPr>
        <w:t>After the on-programme period has been completed and apprentice will go through the EPA assessment gateway.  The apprentice’s employer w</w:t>
      </w:r>
      <w:bookmarkStart w:id="0" w:name="_GoBack"/>
      <w:bookmarkEnd w:id="0"/>
      <w:r>
        <w:rPr>
          <w:rFonts w:eastAsia="Times New Roman" w:cs="Arial"/>
          <w:color w:val="333333"/>
          <w:szCs w:val="20"/>
          <w:lang w:val="en-US" w:eastAsia="en-GB"/>
        </w:rPr>
        <w:t xml:space="preserve">ill confirm the apprentice is occupationally competent, the apprentice will confirm they are ready to take the EPA and have achieved the </w:t>
      </w:r>
      <w:r w:rsidR="003F161B">
        <w:rPr>
          <w:rFonts w:eastAsia="Times New Roman" w:cs="Arial"/>
          <w:color w:val="333333"/>
          <w:szCs w:val="20"/>
          <w:lang w:val="en-US" w:eastAsia="en-GB"/>
        </w:rPr>
        <w:t xml:space="preserve">Early Years Practitioner, </w:t>
      </w:r>
      <w:r>
        <w:rPr>
          <w:rFonts w:eastAsia="Times New Roman" w:cs="Arial"/>
          <w:color w:val="333333"/>
          <w:szCs w:val="20"/>
          <w:lang w:val="en-US" w:eastAsia="en-GB"/>
        </w:rPr>
        <w:t>English and Maths qualification</w:t>
      </w:r>
      <w:r w:rsidR="003F161B">
        <w:rPr>
          <w:rFonts w:eastAsia="Times New Roman" w:cs="Arial"/>
          <w:color w:val="333333"/>
          <w:szCs w:val="20"/>
          <w:lang w:val="en-US" w:eastAsia="en-GB"/>
        </w:rPr>
        <w:t>s</w:t>
      </w:r>
      <w:r>
        <w:rPr>
          <w:rFonts w:eastAsia="Times New Roman" w:cs="Arial"/>
          <w:color w:val="333333"/>
          <w:szCs w:val="20"/>
          <w:lang w:val="en-US" w:eastAsia="en-GB"/>
        </w:rPr>
        <w:t xml:space="preserve"> as detailed below.  </w:t>
      </w:r>
      <w:r w:rsidR="00DF57D9">
        <w:rPr>
          <w:rFonts w:eastAsia="Times New Roman" w:cs="Arial"/>
          <w:color w:val="333333"/>
          <w:szCs w:val="20"/>
          <w:lang w:val="en-US" w:eastAsia="en-GB"/>
        </w:rPr>
        <w:t xml:space="preserve">They must also submit a portfolio of evidence 2 weeks before the Professional Discussion is taking place, details below.  </w:t>
      </w:r>
      <w:r w:rsidR="00527379" w:rsidRPr="00A075A1">
        <w:rPr>
          <w:rFonts w:eastAsia="Times New Roman" w:cs="Arial"/>
          <w:color w:val="333333"/>
          <w:szCs w:val="20"/>
          <w:lang w:val="en-US" w:eastAsia="en-GB"/>
        </w:rPr>
        <w:t>T</w:t>
      </w:r>
      <w:r w:rsidR="00527379" w:rsidRPr="00A075A1">
        <w:rPr>
          <w:rFonts w:cs="Arial"/>
          <w:szCs w:val="20"/>
        </w:rPr>
        <w:t>h</w:t>
      </w:r>
      <w:r>
        <w:rPr>
          <w:rFonts w:cs="Arial"/>
          <w:szCs w:val="20"/>
        </w:rPr>
        <w:t>e EPA</w:t>
      </w:r>
      <w:r w:rsidR="00527379" w:rsidRPr="00A075A1">
        <w:rPr>
          <w:rFonts w:cs="Arial"/>
          <w:szCs w:val="20"/>
        </w:rPr>
        <w:t xml:space="preserve"> will be assessed by an Independent Assessor from</w:t>
      </w:r>
      <w:r>
        <w:rPr>
          <w:rFonts w:cs="Arial"/>
          <w:szCs w:val="20"/>
        </w:rPr>
        <w:t xml:space="preserve"> the End Point</w:t>
      </w:r>
      <w:r w:rsidR="00527379" w:rsidRPr="00A075A1">
        <w:rPr>
          <w:rFonts w:cs="Arial"/>
          <w:szCs w:val="20"/>
        </w:rPr>
        <w:t xml:space="preserve"> Awarding Organisation</w:t>
      </w:r>
      <w:r>
        <w:rPr>
          <w:rFonts w:cs="Arial"/>
          <w:szCs w:val="20"/>
        </w:rPr>
        <w:t xml:space="preserve"> and should be completed within a 3 month period.</w:t>
      </w:r>
    </w:p>
    <w:p w:rsidR="00DF57D9" w:rsidRDefault="00DF57D9" w:rsidP="00DF57D9">
      <w:pPr>
        <w:spacing w:before="100" w:beforeAutospacing="1" w:after="100" w:afterAutospacing="1" w:line="240" w:lineRule="auto"/>
        <w:textAlignment w:val="top"/>
        <w:rPr>
          <w:rFonts w:eastAsia="Times New Roman" w:cs="Arial"/>
          <w:color w:val="3B3C42"/>
          <w:szCs w:val="20"/>
          <w:lang w:eastAsia="en-GB"/>
        </w:rPr>
      </w:pPr>
    </w:p>
    <w:p w:rsidR="00527379" w:rsidRPr="00A075A1" w:rsidRDefault="00527379" w:rsidP="00DF57D9">
      <w:pPr>
        <w:spacing w:before="100" w:beforeAutospacing="1" w:after="100" w:afterAutospacing="1" w:line="240" w:lineRule="auto"/>
        <w:textAlignment w:val="top"/>
        <w:rPr>
          <w:rFonts w:eastAsia="Times New Roman" w:cs="Arial"/>
          <w:color w:val="3B3C42"/>
          <w:szCs w:val="20"/>
          <w:lang w:eastAsia="en-GB"/>
        </w:rPr>
      </w:pPr>
      <w:r w:rsidRPr="00A075A1">
        <w:rPr>
          <w:rFonts w:eastAsia="Times New Roman" w:cs="Arial"/>
          <w:color w:val="3B3C42"/>
          <w:szCs w:val="20"/>
          <w:lang w:eastAsia="en-GB"/>
        </w:rPr>
        <w:lastRenderedPageBreak/>
        <w:t>The EPA consists of 2 assessment methods:</w:t>
      </w:r>
    </w:p>
    <w:p w:rsidR="007F4BBB" w:rsidRPr="00583DAD" w:rsidRDefault="00527379" w:rsidP="00DF57D9">
      <w:pPr>
        <w:spacing w:before="100" w:beforeAutospacing="1" w:after="100" w:afterAutospacing="1" w:line="240" w:lineRule="auto"/>
        <w:outlineLvl w:val="2"/>
        <w:rPr>
          <w:rFonts w:eastAsia="Times New Roman" w:cs="Arial"/>
          <w:color w:val="3B3C42"/>
          <w:szCs w:val="20"/>
          <w:lang w:eastAsia="en-GB"/>
        </w:rPr>
      </w:pPr>
      <w:r w:rsidRPr="00583DAD">
        <w:rPr>
          <w:rFonts w:eastAsia="Times New Roman" w:cs="Arial"/>
          <w:color w:val="3B3C42"/>
          <w:szCs w:val="20"/>
          <w:lang w:eastAsia="en-GB"/>
        </w:rPr>
        <w:t xml:space="preserve">Assessment method 1: </w:t>
      </w:r>
      <w:r w:rsidR="00DF57D9">
        <w:rPr>
          <w:rFonts w:eastAsia="Times New Roman" w:cs="Arial"/>
          <w:color w:val="3B3C42"/>
          <w:szCs w:val="20"/>
          <w:lang w:eastAsia="en-GB"/>
        </w:rPr>
        <w:t>Knowledge Test</w:t>
      </w:r>
    </w:p>
    <w:p w:rsidR="00DF57D9" w:rsidRDefault="00DF57D9" w:rsidP="00DF57D9">
      <w:r>
        <w:t xml:space="preserve">The </w:t>
      </w:r>
      <w:r>
        <w:t xml:space="preserve">Knowledge Test is a controlled assessment which consists of a series of questions in which apprentices are asked to provide a response. It is an accurate and reliable way of assessing those knowledge elements which have a clear correct/incorrect response. </w:t>
      </w:r>
      <w:r>
        <w:t xml:space="preserve"> </w:t>
      </w:r>
      <w:r>
        <w:t xml:space="preserve">The multiple-choice questions will have 4 options of which one will be correct. Apprentices will have 60 minutes to complete the test, which consists of 40 questions. A minimum of 26 questions need to be answered correctly to obtain a Pass, and of these 26 questions, the apprentice must have answered the following correctly: </w:t>
      </w:r>
    </w:p>
    <w:p w:rsidR="00DF57D9" w:rsidRDefault="00DF57D9" w:rsidP="00DF57D9">
      <w:r>
        <w:t xml:space="preserve">3 of 5 questions relating to K5 (The legal requirements and guidance on safeguarding, security, confidentiality of information and promoting the welfare of children) </w:t>
      </w:r>
    </w:p>
    <w:p w:rsidR="00DF57D9" w:rsidRDefault="00DF57D9" w:rsidP="00DF57D9">
      <w:r>
        <w:t xml:space="preserve">3 of 5 questions relating to K8 (The legal requirements and guidance for Health &amp; Safety and security). </w:t>
      </w:r>
    </w:p>
    <w:p w:rsidR="00527379" w:rsidRPr="00583DAD" w:rsidRDefault="00527379" w:rsidP="00DF57D9">
      <w:pPr>
        <w:spacing w:before="100" w:beforeAutospacing="1" w:after="100" w:afterAutospacing="1"/>
        <w:rPr>
          <w:lang w:eastAsia="en-GB"/>
        </w:rPr>
      </w:pPr>
      <w:r w:rsidRPr="00583DAD">
        <w:rPr>
          <w:lang w:eastAsia="en-GB"/>
        </w:rPr>
        <w:t>Assessment method 2: Professional discussion underpinned by a portfolio of evidence</w:t>
      </w:r>
    </w:p>
    <w:p w:rsidR="00E023F8" w:rsidRPr="003F161B" w:rsidRDefault="003F161B" w:rsidP="00DF57D9">
      <w:pPr>
        <w:spacing w:before="100" w:beforeAutospacing="1" w:after="100" w:afterAutospacing="1"/>
        <w:rPr>
          <w:color w:val="333333"/>
          <w:lang w:val="en-US"/>
        </w:rPr>
      </w:pPr>
      <w:r w:rsidRPr="003F161B">
        <w:t>The Professional Discussion gives the apprentice the opportunity to make detailed and proactive contributions to confirm their competency across the KSBs mapped to this method. As the apprentice will have successfully completed a number of direct Observations of Practice during the Early Years Practitioner qualification, questioning will focus on the apprentice’s depth and breadth of understanding, skills and behaviours with the apprentice using their Portfolio of Evidence to support their responses as necessary. The Professional Discussion should be a one-to-one conversation, underpinned by the Portfolio of Evidence. Both the IEPA and the apprentice will have access to the Portfolio of Evidence during the Professional Discussion</w:t>
      </w:r>
      <w:r>
        <w:t>.</w:t>
      </w:r>
    </w:p>
    <w:p w:rsidR="00E975C4" w:rsidRPr="00A075A1" w:rsidRDefault="00E975C4" w:rsidP="00DF57D9">
      <w:pPr>
        <w:pStyle w:val="NormalWeb"/>
        <w:shd w:val="clear" w:color="auto" w:fill="FFFFFF"/>
        <w:spacing w:before="100" w:beforeAutospacing="1" w:after="100" w:afterAutospacing="1"/>
        <w:jc w:val="both"/>
        <w:rPr>
          <w:rFonts w:ascii="Arial" w:hAnsi="Arial" w:cs="Arial"/>
          <w:color w:val="333333"/>
          <w:sz w:val="20"/>
          <w:szCs w:val="20"/>
          <w:lang w:val="en-US"/>
        </w:rPr>
      </w:pPr>
    </w:p>
    <w:p w:rsidR="00E975C4" w:rsidRPr="00A075A1" w:rsidRDefault="00E975C4" w:rsidP="00DF57D9">
      <w:pPr>
        <w:pStyle w:val="NormalWeb"/>
        <w:shd w:val="clear" w:color="auto" w:fill="FFFFFF"/>
        <w:spacing w:after="0"/>
        <w:jc w:val="both"/>
        <w:rPr>
          <w:rFonts w:ascii="Arial" w:hAnsi="Arial" w:cs="Arial"/>
          <w:color w:val="333333"/>
          <w:sz w:val="20"/>
          <w:szCs w:val="20"/>
          <w:lang w:val="en-US"/>
        </w:rPr>
      </w:pPr>
    </w:p>
    <w:sectPr w:rsidR="00E975C4" w:rsidRPr="00A075A1" w:rsidSect="00527379">
      <w:headerReference w:type="first" r:id="rId7"/>
      <w:pgSz w:w="11906" w:h="16838"/>
      <w:pgMar w:top="851"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79" w:rsidRDefault="00527379" w:rsidP="00527379">
      <w:pPr>
        <w:spacing w:before="0" w:after="0" w:line="240" w:lineRule="auto"/>
      </w:pPr>
      <w:r>
        <w:separator/>
      </w:r>
    </w:p>
  </w:endnote>
  <w:endnote w:type="continuationSeparator" w:id="0">
    <w:p w:rsidR="00527379" w:rsidRDefault="00527379" w:rsidP="005273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79" w:rsidRDefault="00527379" w:rsidP="00527379">
      <w:pPr>
        <w:spacing w:before="0" w:after="0" w:line="240" w:lineRule="auto"/>
      </w:pPr>
      <w:r>
        <w:separator/>
      </w:r>
    </w:p>
  </w:footnote>
  <w:footnote w:type="continuationSeparator" w:id="0">
    <w:p w:rsidR="00527379" w:rsidRDefault="00527379" w:rsidP="005273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79" w:rsidRDefault="00527379" w:rsidP="00527379">
    <w:pPr>
      <w:pStyle w:val="Header"/>
      <w:tabs>
        <w:tab w:val="clear" w:pos="9026"/>
        <w:tab w:val="right" w:pos="10204"/>
      </w:tabs>
    </w:pPr>
    <w:r>
      <w:tab/>
    </w:r>
    <w:r>
      <w:tab/>
    </w:r>
    <w:r>
      <w:rPr>
        <w:noProof/>
        <w:lang w:eastAsia="en-GB"/>
      </w:rPr>
      <w:drawing>
        <wp:inline distT="0" distB="0" distL="0" distR="0" wp14:anchorId="15DCB470" wp14:editId="4F02DD64">
          <wp:extent cx="1089660" cy="266700"/>
          <wp:effectExtent l="0" t="0" r="0" b="0"/>
          <wp:docPr id="30" name="Picture 30" descr="FIRST COLLEGE final logo"/>
          <wp:cNvGraphicFramePr/>
          <a:graphic xmlns:a="http://schemas.openxmlformats.org/drawingml/2006/main">
            <a:graphicData uri="http://schemas.openxmlformats.org/drawingml/2006/picture">
              <pic:pic xmlns:pic="http://schemas.openxmlformats.org/drawingml/2006/picture">
                <pic:nvPicPr>
                  <pic:cNvPr id="1" name="Picture 1" descr="FIRST COLLEGE final logo"/>
                  <pic:cNvPicPr/>
                </pic:nvPicPr>
                <pic:blipFill>
                  <a:blip r:embed="rId1" cstate="print"/>
                  <a:srcRect/>
                  <a:stretch>
                    <a:fillRect/>
                  </a:stretch>
                </pic:blipFill>
                <pic:spPr bwMode="auto">
                  <a:xfrm>
                    <a:off x="0" y="0"/>
                    <a:ext cx="1101039" cy="2694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930A6E"/>
    <w:multiLevelType w:val="hybridMultilevel"/>
    <w:tmpl w:val="6BD98D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2548E"/>
    <w:multiLevelType w:val="hybridMultilevel"/>
    <w:tmpl w:val="270658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C659AC"/>
    <w:multiLevelType w:val="hybridMultilevel"/>
    <w:tmpl w:val="75C8BD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D40F2F"/>
    <w:multiLevelType w:val="hybridMultilevel"/>
    <w:tmpl w:val="3C08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16935"/>
    <w:multiLevelType w:val="hybridMultilevel"/>
    <w:tmpl w:val="C6DE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E03F0"/>
    <w:multiLevelType w:val="hybridMultilevel"/>
    <w:tmpl w:val="9E5E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7E2C0F"/>
    <w:multiLevelType w:val="hybridMultilevel"/>
    <w:tmpl w:val="D8C2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379"/>
    <w:rsid w:val="00085AD9"/>
    <w:rsid w:val="00092AA0"/>
    <w:rsid w:val="001512B9"/>
    <w:rsid w:val="00157F5A"/>
    <w:rsid w:val="003B6E61"/>
    <w:rsid w:val="003F161B"/>
    <w:rsid w:val="00401995"/>
    <w:rsid w:val="00422037"/>
    <w:rsid w:val="00454C21"/>
    <w:rsid w:val="004C1E4E"/>
    <w:rsid w:val="004C7512"/>
    <w:rsid w:val="00527379"/>
    <w:rsid w:val="00541258"/>
    <w:rsid w:val="00583DAD"/>
    <w:rsid w:val="00742535"/>
    <w:rsid w:val="007F4BBB"/>
    <w:rsid w:val="00872E1F"/>
    <w:rsid w:val="0089439A"/>
    <w:rsid w:val="009F1DC6"/>
    <w:rsid w:val="00A075A1"/>
    <w:rsid w:val="00A7359B"/>
    <w:rsid w:val="00B324B1"/>
    <w:rsid w:val="00BA4E69"/>
    <w:rsid w:val="00BD0098"/>
    <w:rsid w:val="00CC3C94"/>
    <w:rsid w:val="00CC4141"/>
    <w:rsid w:val="00DA268E"/>
    <w:rsid w:val="00DA5A25"/>
    <w:rsid w:val="00DF57D9"/>
    <w:rsid w:val="00E023F8"/>
    <w:rsid w:val="00E975C4"/>
    <w:rsid w:val="00FD6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DFC2"/>
  <w15:chartTrackingRefBased/>
  <w15:docId w15:val="{D46555AA-F8C5-4DC9-AE73-E2A509E7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379"/>
    <w:pPr>
      <w:spacing w:before="240" w:after="240" w:line="280" w:lineRule="atLeast"/>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27379"/>
    <w:rPr>
      <w:b/>
      <w:bCs/>
    </w:rPr>
  </w:style>
  <w:style w:type="paragraph" w:styleId="NormalWeb">
    <w:name w:val="Normal (Web)"/>
    <w:basedOn w:val="Normal"/>
    <w:uiPriority w:val="99"/>
    <w:unhideWhenUsed/>
    <w:rsid w:val="00527379"/>
    <w:pPr>
      <w:spacing w:before="0"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737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7379"/>
    <w:rPr>
      <w:rFonts w:ascii="Arial" w:hAnsi="Arial"/>
      <w:sz w:val="20"/>
    </w:rPr>
  </w:style>
  <w:style w:type="paragraph" w:styleId="Footer">
    <w:name w:val="footer"/>
    <w:basedOn w:val="Normal"/>
    <w:link w:val="FooterChar"/>
    <w:uiPriority w:val="99"/>
    <w:unhideWhenUsed/>
    <w:rsid w:val="0052737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27379"/>
    <w:rPr>
      <w:rFonts w:ascii="Arial" w:hAnsi="Arial"/>
      <w:sz w:val="20"/>
    </w:rPr>
  </w:style>
  <w:style w:type="paragraph" w:styleId="BalloonText">
    <w:name w:val="Balloon Text"/>
    <w:basedOn w:val="Normal"/>
    <w:link w:val="BalloonTextChar"/>
    <w:uiPriority w:val="99"/>
    <w:semiHidden/>
    <w:unhideWhenUsed/>
    <w:rsid w:val="00A7359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59B"/>
    <w:rPr>
      <w:rFonts w:ascii="Segoe UI" w:hAnsi="Segoe UI" w:cs="Segoe UI"/>
      <w:sz w:val="18"/>
      <w:szCs w:val="18"/>
    </w:rPr>
  </w:style>
  <w:style w:type="paragraph" w:styleId="NoSpacing">
    <w:name w:val="No Spacing"/>
    <w:uiPriority w:val="1"/>
    <w:qFormat/>
    <w:rsid w:val="00BA4E69"/>
    <w:pPr>
      <w:spacing w:after="0" w:line="240" w:lineRule="auto"/>
      <w:jc w:val="both"/>
    </w:pPr>
    <w:rPr>
      <w:rFonts w:ascii="Arial" w:hAnsi="Arial"/>
      <w:sz w:val="20"/>
    </w:rPr>
  </w:style>
  <w:style w:type="paragraph" w:styleId="ListParagraph">
    <w:name w:val="List Paragraph"/>
    <w:basedOn w:val="Normal"/>
    <w:uiPriority w:val="34"/>
    <w:qFormat/>
    <w:rsid w:val="00CC3C94"/>
    <w:pPr>
      <w:ind w:left="720"/>
      <w:contextualSpacing/>
    </w:pPr>
  </w:style>
  <w:style w:type="paragraph" w:customStyle="1" w:styleId="Default">
    <w:name w:val="Default"/>
    <w:rsid w:val="004C1E4E"/>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4220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Devereux</dc:creator>
  <cp:keywords/>
  <dc:description/>
  <cp:lastModifiedBy>Alison Devereux</cp:lastModifiedBy>
  <cp:revision>2</cp:revision>
  <cp:lastPrinted>2024-08-08T12:40:00Z</cp:lastPrinted>
  <dcterms:created xsi:type="dcterms:W3CDTF">2024-08-08T14:14:00Z</dcterms:created>
  <dcterms:modified xsi:type="dcterms:W3CDTF">2024-08-08T14:14:00Z</dcterms:modified>
</cp:coreProperties>
</file>